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general and scope of enhancements on measurement gaps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9.10.2.1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RAN plenary 97 meeting, a revised WID was approved in [1] for Rel-18 to identify further enhancement on NR and MR-DC Measurement Gaps and Measurements without Gaps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6"/>
              </w:numPr>
              <w:kinsoku/>
              <w:wordWrap/>
              <w:overflowPunct/>
              <w:topLinePunct w:val="0"/>
              <w:autoSpaceDE/>
              <w:autoSpaceDN/>
              <w:bidi w:val="0"/>
              <w:adjustRightInd/>
              <w:snapToGrid/>
              <w:ind w:hanging="363"/>
              <w:textAlignment w:val="auto"/>
              <w:rPr>
                <w:lang w:eastAsia="zh-TW"/>
              </w:rPr>
            </w:pPr>
            <w:bookmarkStart w:id="0" w:name="_Hlk114141673"/>
            <w:r>
              <w:rPr>
                <w:lang w:eastAsia="zh-TW"/>
              </w:rPr>
              <w:t>Define RRM requirements for UEs configured with a combination of pre-configured MGs, and/or concurrent MGs and/or NCSG [RAN4]</w:t>
            </w:r>
          </w:p>
          <w:bookmarkEnd w:id="0"/>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97, it seems that the scenario for current stage is more clear, i.e. NTN MG is not considered in Case 1 and Case 2. NCSG is not considered in Case 1 before RAN#99, and pre-configured MG is not considered in Case 2 before RAN#99. Further more, it is clear that 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around the scope and general issues, the discussion on terminology and whether any down-selection should be executed was held and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0"/>
              </w:numPr>
              <w:kinsoku/>
              <w:wordWrap/>
              <w:overflowPunct/>
              <w:topLinePunct w:val="0"/>
              <w:autoSpaceDE/>
              <w:autoSpaceDN/>
              <w:bidi w:val="0"/>
              <w:adjustRightInd/>
              <w:snapToGrid/>
              <w:textAlignment w:val="auto"/>
              <w:rPr>
                <w:rFonts w:hint="eastAsia"/>
                <w:b/>
                <w:bCs/>
                <w:lang w:val="en-US" w:eastAsia="ko-KR"/>
              </w:rPr>
            </w:pPr>
            <w:r>
              <w:rPr>
                <w:rFonts w:hint="eastAsia"/>
                <w:b/>
                <w:bCs/>
                <w:lang w:val="en-US" w:eastAsia="ko-KR"/>
              </w:rPr>
              <w:t xml:space="preserve">Issue </w:t>
            </w:r>
            <w:r>
              <w:rPr>
                <w:rFonts w:hint="eastAsia"/>
                <w:b/>
                <w:bCs/>
                <w:lang w:val="en-US" w:eastAsia="zh-CN"/>
              </w:rPr>
              <w:t>1</w:t>
            </w:r>
            <w:r>
              <w:rPr>
                <w:rFonts w:hint="eastAsia"/>
                <w:b/>
                <w:bCs/>
                <w:lang w:val="en-US" w:eastAsia="ko-KR"/>
              </w:rPr>
              <w:t>-1-2: Definitions: common understanding</w:t>
            </w:r>
          </w:p>
          <w:p>
            <w:pPr>
              <w:keepNext w:val="0"/>
              <w:keepLines w:val="0"/>
              <w:pageBreakBefore w:val="0"/>
              <w:widowControl/>
              <w:kinsoku/>
              <w:wordWrap/>
              <w:overflowPunct/>
              <w:topLinePunct w:val="0"/>
              <w:autoSpaceDE/>
              <w:autoSpaceDN/>
              <w:bidi w:val="0"/>
              <w:adjustRightInd/>
              <w:snapToGrid/>
              <w:ind w:left="400" w:leftChars="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numPr>
                <w:ilvl w:val="0"/>
                <w:numId w:val="8"/>
              </w:numPr>
              <w:kinsoku/>
              <w:wordWrap/>
              <w:overflowPunct/>
              <w:topLinePunct w:val="0"/>
              <w:autoSpaceDE/>
              <w:autoSpaceDN/>
              <w:bidi w:val="0"/>
              <w:adjustRightInd/>
              <w:snapToGrid/>
              <w:ind w:left="700" w:leftChars="0"/>
              <w:textAlignment w:val="auto"/>
              <w:rPr>
                <w:lang w:eastAsia="zh-CN"/>
              </w:rPr>
            </w:pPr>
            <w:r>
              <w:rPr>
                <w:lang w:eastAsia="zh-CN"/>
              </w:rPr>
              <w:t>The reason for having these definitions is to align the understanding between companies</w:t>
            </w:r>
          </w:p>
          <w:p>
            <w:pPr>
              <w:keepNext w:val="0"/>
              <w:keepLines w:val="0"/>
              <w:pageBreakBefore w:val="0"/>
              <w:widowControl/>
              <w:numPr>
                <w:ilvl w:val="0"/>
                <w:numId w:val="0"/>
              </w:numPr>
              <w:kinsoku/>
              <w:wordWrap/>
              <w:overflowPunct/>
              <w:topLinePunct w:val="0"/>
              <w:autoSpaceDE/>
              <w:autoSpaceDN/>
              <w:bidi w:val="0"/>
              <w:adjustRightInd/>
              <w:snapToGrid/>
              <w:textAlignment w:val="auto"/>
              <w:rPr>
                <w:rFonts w:hint="eastAsia"/>
                <w:lang w:val="en-US" w:eastAsia="ko-KR"/>
              </w:rPr>
            </w:pPr>
            <w:r>
              <w:rPr>
                <w:rFonts w:hint="eastAsia"/>
                <w:b/>
                <w:bCs/>
                <w:lang w:val="en-US" w:eastAsia="ko-KR"/>
              </w:rPr>
              <w:t xml:space="preserve">Issue </w:t>
            </w:r>
            <w:r>
              <w:rPr>
                <w:rFonts w:hint="eastAsia"/>
                <w:b/>
                <w:bCs/>
                <w:lang w:val="en-US" w:eastAsia="zh-CN"/>
              </w:rPr>
              <w:t>1</w:t>
            </w:r>
            <w:r>
              <w:rPr>
                <w:rFonts w:hint="eastAsia"/>
                <w:b/>
                <w:bCs/>
                <w:lang w:val="en-US" w:eastAsia="ko-KR"/>
              </w:rPr>
              <w:t>-1-3: Which Type of MG is considered together with Pre-MG/NCSG in the WI? (When only one Pre-MG/NCSG is considered)</w:t>
            </w:r>
            <w:r>
              <w:rPr>
                <w:rFonts w:hint="eastAsia"/>
                <w:lang w:val="en-US" w:eastAsia="ko-KR"/>
              </w:rPr>
              <w:t xml:space="preserve"> </w:t>
            </w:r>
          </w:p>
          <w:p>
            <w:pPr>
              <w:keepNext w:val="0"/>
              <w:keepLines w:val="0"/>
              <w:pageBreakBefore w:val="0"/>
              <w:widowControl/>
              <w:kinsoku/>
              <w:wordWrap/>
              <w:overflowPunct/>
              <w:topLinePunct w:val="0"/>
              <w:autoSpaceDE/>
              <w:autoSpaceDN/>
              <w:bidi w:val="0"/>
              <w:adjustRightInd/>
              <w:snapToGrid/>
              <w:ind w:left="400" w:leftChars="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numPr>
                <w:ilvl w:val="0"/>
                <w:numId w:val="8"/>
              </w:numPr>
              <w:kinsoku/>
              <w:wordWrap/>
              <w:overflowPunct/>
              <w:topLinePunct w:val="0"/>
              <w:autoSpaceDE/>
              <w:autoSpaceDN/>
              <w:bidi w:val="0"/>
              <w:adjustRightInd/>
              <w:snapToGrid/>
              <w:textAlignment w:val="auto"/>
              <w:rPr>
                <w:rFonts w:hint="eastAsia" w:eastAsia="宋体"/>
                <w:color w:val="auto"/>
                <w:sz w:val="20"/>
                <w:szCs w:val="20"/>
                <w:vertAlign w:val="baseline"/>
                <w:lang w:val="en-US" w:eastAsia="zh-CN"/>
              </w:rPr>
            </w:pPr>
            <w:r>
              <w:rPr>
                <w:lang w:eastAsia="zh-CN"/>
              </w:rPr>
              <w:t>Start with the requirement definition based on Type-2 MG. FFS whether and how to include Type-1 MG.</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the scope, one issue is still suspending, i.e. whether Type-1 MG should be considered in Case 1 and Case 2. In this document, we provide some analysis on this.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background about the new terminology such as Type-1 MG and Type-2 MG should be referred to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PMingLiU"/>
                <w:szCs w:val="24"/>
                <w:lang w:eastAsia="zh-TW"/>
              </w:rPr>
            </w:pPr>
            <w:r>
              <w:rPr>
                <w:rFonts w:hint="eastAsia" w:eastAsia="PMingLiU"/>
                <w:szCs w:val="24"/>
                <w:highlight w:val="green"/>
                <w:lang w:eastAsia="zh-TW"/>
              </w:rPr>
              <w:t>A</w:t>
            </w:r>
            <w:r>
              <w:rPr>
                <w:rFonts w:eastAsia="PMingLiU"/>
                <w:szCs w:val="24"/>
                <w:highlight w:val="green"/>
                <w:lang w:eastAsia="zh-TW"/>
              </w:rPr>
              <w:t xml:space="preserve">greement </w:t>
            </w:r>
            <w:r>
              <w:rPr>
                <w:rFonts w:eastAsia="PMingLiU"/>
                <w:szCs w:val="24"/>
                <w:lang w:eastAsia="zh-TW"/>
              </w:rPr>
              <w:t xml:space="preserve">: </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rFonts w:hint="default"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definition, in fact Type-1 MG refers to legacy R15, 16 MG. While Type-2 MG refers to the concurrent MG configured via R17 signalling. By given these two unified terminologies, it is convenient to discuss the exact MG type considered in this R18 WID.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However in last meeting, more additional terminologies were proposed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1: </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Type-1 MG and Type-2 MG is already enough (No need to specify another definition)</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2: </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Component gap: indicate one particular configured gap pattern within a concurrent gap</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2</w:t>
            </w:r>
            <w:r>
              <w:rPr>
                <w:rFonts w:hint="eastAsia" w:eastAsia="宋体"/>
                <w:szCs w:val="24"/>
                <w:lang w:eastAsia="zh-CN"/>
              </w:rPr>
              <w:t>a</w:t>
            </w:r>
            <w:r>
              <w:rPr>
                <w:rFonts w:eastAsia="宋体"/>
                <w:szCs w:val="24"/>
                <w:lang w:eastAsia="zh-CN"/>
              </w:rPr>
              <w:t xml:space="preserve">: </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eastAsia="宋体"/>
                <w:szCs w:val="24"/>
                <w:lang w:eastAsia="zh-CN"/>
              </w:rPr>
            </w:pPr>
            <w:r>
              <w:rPr>
                <w:lang w:eastAsia="zh-CN"/>
              </w:rPr>
              <w:t>The terminology of ‘component gap’ is used which represent one of MG configured as part of concurrent MG combination, and the component gap can be Type-1 MG, Type-2 MG, Pre-MG or NCSG.</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3: </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Update gaps definitions with:</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0" w:firstLineChars="0"/>
              <w:textAlignment w:val="auto"/>
              <w:rPr>
                <w:rFonts w:eastAsia="宋体"/>
                <w:szCs w:val="24"/>
                <w:lang w:eastAsia="zh-CN"/>
              </w:rPr>
            </w:pPr>
            <w:r>
              <w:rPr>
                <w:rFonts w:eastAsia="宋体"/>
                <w:szCs w:val="24"/>
                <w:lang w:eastAsia="zh-CN"/>
              </w:rPr>
              <w:t>"Concurrent pre-configured gap”, which is defined as a gap configured with preConfigInd and gapPriority.</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0" w:firstLineChars="0"/>
              <w:textAlignment w:val="auto"/>
              <w:rPr>
                <w:rFonts w:eastAsia="宋体"/>
                <w:szCs w:val="24"/>
                <w:lang w:eastAsia="zh-CN"/>
              </w:rPr>
            </w:pPr>
            <w:r>
              <w:rPr>
                <w:rFonts w:eastAsia="宋体"/>
                <w:szCs w:val="24"/>
                <w:lang w:eastAsia="zh-CN"/>
              </w:rPr>
              <w:t>“Concurrent NCSG”, which is defined as a gap configured with ncsgInd and gapPriority.</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0" w:firstLineChars="0"/>
              <w:textAlignment w:val="auto"/>
              <w:rPr>
                <w:rFonts w:hint="default" w:eastAsia="宋体"/>
                <w:color w:val="auto"/>
                <w:sz w:val="20"/>
                <w:szCs w:val="20"/>
                <w:vertAlign w:val="baseline"/>
                <w:lang w:val="en-US" w:eastAsia="zh-CN"/>
              </w:rPr>
            </w:pPr>
            <w:r>
              <w:rPr>
                <w:rFonts w:eastAsia="宋体"/>
                <w:szCs w:val="24"/>
                <w:lang w:eastAsia="zh-CN"/>
              </w:rPr>
              <w:t>“Concurrent measurement gap” which is defined as including Type-1 MG and Type-2 MG both with gapPriority</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Since w</w:t>
      </w:r>
      <w:r>
        <w:rPr>
          <w:rFonts w:hint="default" w:eastAsia="宋体"/>
          <w:color w:val="auto"/>
          <w:sz w:val="20"/>
          <w:szCs w:val="20"/>
          <w:lang w:val="en-US" w:eastAsia="zh-CN"/>
        </w:rPr>
        <w:t xml:space="preserve">e have </w:t>
      </w:r>
      <w:r>
        <w:rPr>
          <w:rFonts w:hint="eastAsia" w:eastAsia="宋体"/>
          <w:color w:val="auto"/>
          <w:sz w:val="20"/>
          <w:szCs w:val="20"/>
          <w:lang w:val="en-US" w:eastAsia="zh-CN"/>
        </w:rPr>
        <w:t xml:space="preserve">already </w:t>
      </w:r>
      <w:r>
        <w:rPr>
          <w:rFonts w:hint="default" w:eastAsia="宋体"/>
          <w:color w:val="auto"/>
          <w:sz w:val="20"/>
          <w:szCs w:val="20"/>
          <w:lang w:val="en-US" w:eastAsia="zh-CN"/>
        </w:rPr>
        <w:t xml:space="preserve">agreed the terminology of Type-1 MG and Type-2 MG in </w:t>
      </w:r>
      <w:r>
        <w:rPr>
          <w:rFonts w:hint="eastAsia" w:eastAsia="宋体"/>
          <w:color w:val="auto"/>
          <w:sz w:val="20"/>
          <w:szCs w:val="20"/>
          <w:lang w:val="en-US" w:eastAsia="zh-CN"/>
        </w:rPr>
        <w:t xml:space="preserve">104bis </w:t>
      </w:r>
      <w:r>
        <w:rPr>
          <w:rFonts w:hint="default" w:eastAsia="宋体"/>
          <w:color w:val="auto"/>
          <w:sz w:val="20"/>
          <w:szCs w:val="20"/>
          <w:lang w:val="en-US" w:eastAsia="zh-CN"/>
        </w:rPr>
        <w:t>meeting, it seems that we do not need any new terminology</w:t>
      </w:r>
      <w:r>
        <w:rPr>
          <w:rFonts w:hint="eastAsia" w:eastAsia="宋体"/>
          <w:color w:val="auto"/>
          <w:sz w:val="20"/>
          <w:szCs w:val="20"/>
          <w:lang w:val="en-US" w:eastAsia="zh-CN"/>
        </w:rPr>
        <w:t xml:space="preserve"> to represent a type of MG when we discuss. All referred types of MG have unconfused terminology already. The following types of MG are considered in this WID: </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Pre-configured MG</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NCSG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we do not need additional terminology any more. From this point of view, Option 1 is preferred.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referred types of MG have unconfused terminology already. The following types of MG are considered in this WID: Type-1 MG, Type-2 MG, Pre-configured MG and NCSG. We do not need additional terminology any more, i.e. Type-1 MG and Type-2 MG is already enough (No need to specify another definition).</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From the other side, to convenient our discussion, sometimes we need to describe the referred MGs without any specific type. Under this situation, we need to unified terminology to convenient the discussion, the name of </w:t>
      </w:r>
      <w:r>
        <w:rPr>
          <w:rFonts w:hint="default" w:eastAsia="宋体"/>
          <w:color w:val="auto"/>
          <w:sz w:val="20"/>
          <w:szCs w:val="20"/>
          <w:lang w:val="en-US" w:eastAsia="zh-CN"/>
        </w:rPr>
        <w:t>“</w:t>
      </w:r>
      <w:r>
        <w:rPr>
          <w:rFonts w:hint="eastAsia" w:eastAsia="宋体"/>
          <w:color w:val="auto"/>
          <w:sz w:val="20"/>
          <w:szCs w:val="20"/>
          <w:lang w:val="en-US" w:eastAsia="zh-CN"/>
        </w:rPr>
        <w:t>component gap</w:t>
      </w:r>
      <w:r>
        <w:rPr>
          <w:rFonts w:hint="default" w:eastAsia="宋体"/>
          <w:color w:val="auto"/>
          <w:sz w:val="20"/>
          <w:szCs w:val="20"/>
          <w:lang w:val="en-US" w:eastAsia="zh-CN"/>
        </w:rPr>
        <w:t>”</w:t>
      </w:r>
      <w:r>
        <w:rPr>
          <w:rFonts w:hint="eastAsia" w:eastAsia="宋体"/>
          <w:color w:val="auto"/>
          <w:sz w:val="20"/>
          <w:szCs w:val="20"/>
          <w:lang w:val="en-US" w:eastAsia="zh-CN"/>
        </w:rPr>
        <w:t xml:space="preserve"> can be such unified terminology. The </w:t>
      </w:r>
      <w:r>
        <w:rPr>
          <w:rFonts w:hint="default" w:eastAsia="宋体"/>
          <w:color w:val="auto"/>
          <w:sz w:val="20"/>
          <w:szCs w:val="20"/>
          <w:lang w:val="en-US" w:eastAsia="zh-CN"/>
        </w:rPr>
        <w:t>“</w:t>
      </w:r>
      <w:r>
        <w:rPr>
          <w:rFonts w:hint="eastAsia" w:eastAsia="宋体"/>
          <w:color w:val="auto"/>
          <w:sz w:val="20"/>
          <w:szCs w:val="20"/>
          <w:lang w:val="en-US" w:eastAsia="zh-CN"/>
        </w:rPr>
        <w:t>component gap</w:t>
      </w:r>
      <w:r>
        <w:rPr>
          <w:rFonts w:hint="default" w:eastAsia="宋体"/>
          <w:color w:val="auto"/>
          <w:sz w:val="20"/>
          <w:szCs w:val="20"/>
          <w:lang w:val="en-US" w:eastAsia="zh-CN"/>
        </w:rPr>
        <w:t>”</w:t>
      </w:r>
      <w:r>
        <w:rPr>
          <w:rFonts w:hint="eastAsia" w:eastAsia="宋体"/>
          <w:color w:val="auto"/>
          <w:sz w:val="20"/>
          <w:szCs w:val="20"/>
          <w:lang w:val="en-US" w:eastAsia="zh-CN"/>
        </w:rPr>
        <w:t xml:space="preserve"> can be any type within Type-1 MG, Type-2 MG, Pre-configured MG and NCSG. From this point of view, Option 2a is preferred.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To convenient the discussion, a unified terminology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component gap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is useful.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component gap</w:t>
      </w:r>
      <w:r>
        <w:rPr>
          <w:rFonts w:hint="default" w:eastAsia="宋体" w:cs="Times New Roman"/>
          <w:b/>
          <w:bCs/>
          <w:color w:val="auto"/>
          <w:sz w:val="20"/>
          <w:szCs w:val="20"/>
          <w:highlight w:val="none"/>
          <w:lang w:val="en-US" w:eastAsia="zh-CN" w:bidi="ar-SA"/>
        </w:rPr>
        <w:t>” can be any type within Type-1 MG, Type-2 MG, Pre-configured MG and NCSG</w:t>
      </w:r>
      <w:r>
        <w:rPr>
          <w:rFonts w:hint="eastAsia" w:eastAsia="宋体" w:cs="Times New Roman"/>
          <w:b/>
          <w:bCs/>
          <w:color w:val="auto"/>
          <w:sz w:val="20"/>
          <w:szCs w:val="20"/>
          <w:highlight w:val="none"/>
          <w:lang w:val="en-US" w:eastAsia="zh-CN" w:bidi="ar-SA"/>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Another conflicting issue is which type of MG can be considered together with Pre-configured MG/NCSG in the WI, after warm discussion in last meeting, it has been approved that start with the requirement definition based on Type-2 MG. While for Type-1 MG, still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fact this issue is to discuss the necessity of down-selection between Type-1 MG and Type-2 MG. In our opinion, defining the two types of MG only aims to align the understanding between companies rather than the down-selection is necessary. Further more, this opinion has been approved in last meeting.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Further more, RAN4 did not achieve any agreement to preclude Type-1 MG from the scope of R17 concurrent MGs, so Type 1 MG can be one of the concurrent MG for the UE capable of concurrent MG in R17 Concurrent MG. RAN2 has the following understanding: The NW could configure one gap via legacy field(without gap ID and gap priority) and the other gap via new field(with gap ID and gap priority).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If Type-1 MG is allowed to be a component of R17 concurrent MGs, we are not sure why we would preclude Type-1 MG from the candidate MGs in this R18 WID. We can not see any valid reason. If we just wonder the handling of overlapping, it is not necessary since in fact R17 has given the overlapping handing no matter from RAN2 or RAN 4 perspective. RAN 2 had the such clarification: When legacy field and new field(w concurrent gap) are configured together, the legacy field applies for “at least” all freq and PRS not assigned for R17 gaps. RAN4 had approved the agreements: No requirement applies when legacy and new gap collides. So both RAN2 and RAN4 have already address the overlapping issue between Type-1 MG and Type-2 MG in R17.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analysis, we can not see any necessity to exclude Type-1 MG from the consideration of this R18 WID, i.e. both Type-1 MG and Type-2 MG can be considered for the UE capable of R18 joint MG capability when we discuss the requirements.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Type-1 MG is not excluded from the component of R17 concurrent MGs.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Both RAN2 and RAN4 have considered the overlapping handling between Type-1 MG and Type-2 MG.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We can not see any necessity to exclude Type-1 MG from the consideration of this R18 WID, i.e. both Type-1 MG and Type-2 MG can be considered for the UE capable of R18 joint MG capability.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scope of this WID</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referred types of MG have unconfused terminology already. The following types of MG are considered in this WID: Type-1 MG, Type-2 MG, Pre-configured MG and NCSG. We do not need additional terminology any more, i.e. Type-1 MG and Type-2 MG is already enough (No need to specify another definition).</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To convenient the discussion, a unified terminology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component gap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is useful.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component gap</w:t>
      </w:r>
      <w:r>
        <w:rPr>
          <w:rFonts w:hint="default" w:eastAsia="宋体" w:cs="Times New Roman"/>
          <w:b/>
          <w:bCs/>
          <w:color w:val="auto"/>
          <w:sz w:val="20"/>
          <w:szCs w:val="20"/>
          <w:highlight w:val="none"/>
          <w:lang w:val="en-US" w:eastAsia="zh-CN" w:bidi="ar-SA"/>
        </w:rPr>
        <w:t>” can be any type within Type-1 MG, Type-2 MG, Pre-configured MG and NCSG</w:t>
      </w:r>
      <w:r>
        <w:rPr>
          <w:rFonts w:hint="eastAsia" w:eastAsia="宋体" w:cs="Times New Roman"/>
          <w:b/>
          <w:bCs/>
          <w:color w:val="auto"/>
          <w:sz w:val="20"/>
          <w:szCs w:val="20"/>
          <w:highlight w:val="none"/>
          <w:lang w:val="en-US" w:eastAsia="zh-CN" w:bidi="ar-SA"/>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Type-1 MG is not excluded from the component of R17 concurrent MGs.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Both RAN2 and RAN4 have considered the overlapping handling between Type-1 MG and Type-2 MG.</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We can not see any necessity to exclude Type-1 MG from the consideration of this R18 WID, i.e. both Type-1 MG and Type-2 MG can be considered for the UE capable of R18 joint MG capability.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R4-2220359 </w:t>
      </w:r>
      <w:r>
        <w:rPr>
          <w:rFonts w:hint="default"/>
          <w:color w:val="auto"/>
          <w:highlight w:val="none"/>
          <w:lang w:val="en-US" w:eastAsia="zh-CN"/>
        </w:rPr>
        <w:t>“</w:t>
      </w:r>
      <w:r>
        <w:rPr>
          <w:rFonts w:hint="eastAsia"/>
          <w:color w:val="auto"/>
          <w:highlight w:val="none"/>
          <w:lang w:val="en-US" w:eastAsia="zh-CN"/>
        </w:rPr>
        <w:t>WF on NR_MG_enh2 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181B54E"/>
    <w:multiLevelType w:val="singleLevel"/>
    <w:tmpl w:val="3181B54E"/>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5D107A44"/>
    <w:multiLevelType w:val="singleLevel"/>
    <w:tmpl w:val="5D107A44"/>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6"/>
  </w:num>
  <w:num w:numId="2">
    <w:abstractNumId w:val="3"/>
  </w:num>
  <w:num w:numId="3">
    <w:abstractNumId w:val="4"/>
  </w:num>
  <w:num w:numId="4">
    <w:abstractNumId w:val="1"/>
  </w:num>
  <w:num w:numId="5">
    <w:abstractNumId w:val="2"/>
  </w:num>
  <w:num w:numId="6">
    <w:abstractNumId w:val="0"/>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00DD"/>
    <w:rsid w:val="047A3CFF"/>
    <w:rsid w:val="04885243"/>
    <w:rsid w:val="05317828"/>
    <w:rsid w:val="05417872"/>
    <w:rsid w:val="05477E90"/>
    <w:rsid w:val="05BB5AB9"/>
    <w:rsid w:val="05C42923"/>
    <w:rsid w:val="05DF4AD4"/>
    <w:rsid w:val="05F562DB"/>
    <w:rsid w:val="06963BA6"/>
    <w:rsid w:val="06965F3C"/>
    <w:rsid w:val="07CD3CDD"/>
    <w:rsid w:val="0855671D"/>
    <w:rsid w:val="089009EB"/>
    <w:rsid w:val="09716BCA"/>
    <w:rsid w:val="09D64B23"/>
    <w:rsid w:val="09E644B8"/>
    <w:rsid w:val="0AF01D00"/>
    <w:rsid w:val="0B12013A"/>
    <w:rsid w:val="0B1C5C6A"/>
    <w:rsid w:val="0B243EFB"/>
    <w:rsid w:val="0B3D3C2F"/>
    <w:rsid w:val="0BB0429A"/>
    <w:rsid w:val="0BFF5FC6"/>
    <w:rsid w:val="0C276675"/>
    <w:rsid w:val="0C394019"/>
    <w:rsid w:val="0F3D019A"/>
    <w:rsid w:val="0F6F5BCD"/>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7225E5"/>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551335"/>
    <w:rsid w:val="24D4257E"/>
    <w:rsid w:val="2572202B"/>
    <w:rsid w:val="2605683C"/>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E014790"/>
    <w:rsid w:val="2EE77680"/>
    <w:rsid w:val="2F2F0FC8"/>
    <w:rsid w:val="301C6BB6"/>
    <w:rsid w:val="30683AA5"/>
    <w:rsid w:val="30723652"/>
    <w:rsid w:val="319708F2"/>
    <w:rsid w:val="31B14C9E"/>
    <w:rsid w:val="3386119A"/>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C1C63D6"/>
    <w:rsid w:val="4C864A35"/>
    <w:rsid w:val="4CF5662B"/>
    <w:rsid w:val="4E015C76"/>
    <w:rsid w:val="4E310026"/>
    <w:rsid w:val="4E4A2325"/>
    <w:rsid w:val="4FAA1EBE"/>
    <w:rsid w:val="501A6C55"/>
    <w:rsid w:val="51234069"/>
    <w:rsid w:val="51605BAA"/>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3D5B9B"/>
    <w:rsid w:val="635902CD"/>
    <w:rsid w:val="64706BBE"/>
    <w:rsid w:val="64F2095B"/>
    <w:rsid w:val="65D63F94"/>
    <w:rsid w:val="67702482"/>
    <w:rsid w:val="67A858DB"/>
    <w:rsid w:val="67FE4166"/>
    <w:rsid w:val="68AD2162"/>
    <w:rsid w:val="68C401C3"/>
    <w:rsid w:val="693027BF"/>
    <w:rsid w:val="6968769B"/>
    <w:rsid w:val="69A82D4C"/>
    <w:rsid w:val="69A833BD"/>
    <w:rsid w:val="6D566F0F"/>
    <w:rsid w:val="6D836F72"/>
    <w:rsid w:val="6DDE3DAF"/>
    <w:rsid w:val="6E3241BE"/>
    <w:rsid w:val="6E471E78"/>
    <w:rsid w:val="6EB97A9D"/>
    <w:rsid w:val="6EF10A90"/>
    <w:rsid w:val="6FFF1868"/>
    <w:rsid w:val="705C7553"/>
    <w:rsid w:val="715F4C2D"/>
    <w:rsid w:val="71D50A6B"/>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002852"/>
    <w:rsid w:val="7922350F"/>
    <w:rsid w:val="792B5470"/>
    <w:rsid w:val="79C637D8"/>
    <w:rsid w:val="7A180703"/>
    <w:rsid w:val="7A9367CB"/>
    <w:rsid w:val="7AF22571"/>
    <w:rsid w:val="7B69224B"/>
    <w:rsid w:val="7BE80F25"/>
    <w:rsid w:val="7C1C35A7"/>
    <w:rsid w:val="7C45431D"/>
    <w:rsid w:val="7D3219D5"/>
    <w:rsid w:val="7DDD0501"/>
    <w:rsid w:val="7DE51372"/>
    <w:rsid w:val="7E0A0FE0"/>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2023-02-17T13:00:11Z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